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3F" w:rsidRDefault="00A67D3F"/>
    <w:p w:rsidR="00893CAA" w:rsidRDefault="00893CAA"/>
    <w:p w:rsidR="00893CAA" w:rsidRDefault="00893CAA"/>
    <w:p w:rsidR="00893CAA" w:rsidRDefault="00893CAA" w:rsidP="00893CAA">
      <w:pPr>
        <w:jc w:val="center"/>
        <w:rPr>
          <w:sz w:val="56"/>
          <w:szCs w:val="56"/>
        </w:rPr>
      </w:pPr>
      <w:r w:rsidRPr="00893CAA">
        <w:rPr>
          <w:sz w:val="56"/>
          <w:szCs w:val="56"/>
        </w:rPr>
        <w:t>Foundations™ from Health Level</w:t>
      </w:r>
    </w:p>
    <w:p w:rsidR="00893CAA" w:rsidRDefault="00893CAA" w:rsidP="00893CAA">
      <w:pPr>
        <w:jc w:val="center"/>
        <w:rPr>
          <w:sz w:val="56"/>
          <w:szCs w:val="56"/>
        </w:rPr>
      </w:pPr>
    </w:p>
    <w:p w:rsidR="00893CAA" w:rsidRDefault="00893CAA" w:rsidP="00893CAA">
      <w:pPr>
        <w:jc w:val="center"/>
        <w:rPr>
          <w:sz w:val="56"/>
          <w:szCs w:val="56"/>
        </w:rPr>
      </w:pPr>
    </w:p>
    <w:p w:rsidR="00893CAA" w:rsidRDefault="00893CAA" w:rsidP="00893CAA">
      <w:pPr>
        <w:jc w:val="center"/>
        <w:rPr>
          <w:sz w:val="56"/>
          <w:szCs w:val="56"/>
        </w:rPr>
      </w:pPr>
      <w:r>
        <w:rPr>
          <w:sz w:val="56"/>
          <w:szCs w:val="56"/>
        </w:rPr>
        <w:t>HL7 Interface Specification</w:t>
      </w:r>
    </w:p>
    <w:p w:rsidR="00893CAA" w:rsidRDefault="00893CAA" w:rsidP="00893CAA">
      <w:pPr>
        <w:jc w:val="center"/>
        <w:rPr>
          <w:sz w:val="56"/>
          <w:szCs w:val="56"/>
        </w:rPr>
      </w:pPr>
    </w:p>
    <w:p w:rsidR="00893CAA" w:rsidRDefault="00773549" w:rsidP="00893CAA">
      <w:pPr>
        <w:jc w:val="center"/>
        <w:rPr>
          <w:sz w:val="56"/>
          <w:szCs w:val="56"/>
        </w:rPr>
      </w:pPr>
      <w:r>
        <w:rPr>
          <w:sz w:val="56"/>
          <w:szCs w:val="56"/>
        </w:rPr>
        <w:t>Prepared</w:t>
      </w:r>
      <w:r w:rsidR="00893CAA">
        <w:rPr>
          <w:sz w:val="56"/>
          <w:szCs w:val="56"/>
        </w:rPr>
        <w:t xml:space="preserve"> for</w:t>
      </w:r>
    </w:p>
    <w:p w:rsidR="00893CAA" w:rsidRDefault="00893CAA" w:rsidP="00893CAA">
      <w:pPr>
        <w:jc w:val="center"/>
        <w:rPr>
          <w:sz w:val="56"/>
          <w:szCs w:val="56"/>
        </w:rPr>
      </w:pPr>
      <w:r>
        <w:rPr>
          <w:sz w:val="56"/>
          <w:szCs w:val="56"/>
        </w:rPr>
        <w:t>VHA</w:t>
      </w:r>
    </w:p>
    <w:p w:rsidR="00893CAA" w:rsidRDefault="00893CAA" w:rsidP="00893CAA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National </w:t>
      </w:r>
      <w:proofErr w:type="spellStart"/>
      <w:r>
        <w:rPr>
          <w:sz w:val="56"/>
          <w:szCs w:val="56"/>
        </w:rPr>
        <w:t>Teleradiology</w:t>
      </w:r>
      <w:proofErr w:type="spellEnd"/>
      <w:r>
        <w:rPr>
          <w:sz w:val="56"/>
          <w:szCs w:val="56"/>
        </w:rPr>
        <w:t xml:space="preserve"> Program</w:t>
      </w:r>
    </w:p>
    <w:p w:rsidR="00893CAA" w:rsidRDefault="00893CAA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893CAA" w:rsidRDefault="00893CAA" w:rsidP="00354C62">
      <w:pPr>
        <w:spacing w:after="0"/>
        <w:rPr>
          <w:sz w:val="24"/>
          <w:szCs w:val="24"/>
        </w:rPr>
      </w:pPr>
    </w:p>
    <w:p w:rsidR="00893CAA" w:rsidRDefault="00893CAA" w:rsidP="00354C62">
      <w:pPr>
        <w:shd w:val="clear" w:color="auto" w:fill="DBE5F1" w:themeFill="accent1" w:themeFillTint="33"/>
        <w:rPr>
          <w:sz w:val="24"/>
          <w:szCs w:val="24"/>
        </w:rPr>
      </w:pPr>
      <w:r w:rsidRPr="00893CAA">
        <w:rPr>
          <w:b/>
          <w:sz w:val="24"/>
          <w:szCs w:val="24"/>
        </w:rPr>
        <w:t>Overview</w:t>
      </w:r>
    </w:p>
    <w:p w:rsidR="00893CAA" w:rsidRPr="00773549" w:rsidRDefault="00893CAA" w:rsidP="00773549">
      <w:pPr>
        <w:jc w:val="both"/>
        <w:rPr>
          <w:szCs w:val="24"/>
        </w:rPr>
      </w:pPr>
      <w:r w:rsidRPr="00773549">
        <w:rPr>
          <w:szCs w:val="24"/>
        </w:rPr>
        <w:t>VHA NTP requires a two-way data integration between the STAT Case Manager (Built on Fo</w:t>
      </w:r>
      <w:bookmarkStart w:id="0" w:name="_GoBack"/>
      <w:bookmarkEnd w:id="0"/>
      <w:r w:rsidRPr="00773549">
        <w:rPr>
          <w:szCs w:val="24"/>
        </w:rPr>
        <w:t xml:space="preserve">undations™ by Health Level) and </w:t>
      </w:r>
      <w:proofErr w:type="spellStart"/>
      <w:r w:rsidRPr="00773549">
        <w:rPr>
          <w:szCs w:val="24"/>
        </w:rPr>
        <w:t>IntelePACS</w:t>
      </w:r>
      <w:proofErr w:type="spellEnd"/>
      <w:r w:rsidRPr="00773549">
        <w:rPr>
          <w:szCs w:val="24"/>
        </w:rPr>
        <w:t xml:space="preserve"> (product provided by </w:t>
      </w:r>
      <w:proofErr w:type="spellStart"/>
      <w:r w:rsidRPr="00773549">
        <w:rPr>
          <w:szCs w:val="24"/>
        </w:rPr>
        <w:t>InteleRad</w:t>
      </w:r>
      <w:proofErr w:type="spellEnd"/>
      <w:r w:rsidRPr="00773549">
        <w:rPr>
          <w:szCs w:val="24"/>
        </w:rPr>
        <w:t>).</w:t>
      </w:r>
    </w:p>
    <w:p w:rsidR="00893CAA" w:rsidRPr="00773549" w:rsidRDefault="00893CAA" w:rsidP="00773549">
      <w:pPr>
        <w:jc w:val="both"/>
        <w:rPr>
          <w:szCs w:val="24"/>
        </w:rPr>
      </w:pPr>
      <w:r w:rsidRPr="00773549">
        <w:rPr>
          <w:szCs w:val="24"/>
        </w:rPr>
        <w:t xml:space="preserve">For the two-way integration, Foundations™ shall send STAT as they are added to the work list and status changes to </w:t>
      </w:r>
      <w:proofErr w:type="spellStart"/>
      <w:r w:rsidRPr="00773549">
        <w:rPr>
          <w:szCs w:val="24"/>
        </w:rPr>
        <w:t>IntelePACS</w:t>
      </w:r>
      <w:proofErr w:type="spellEnd"/>
      <w:r w:rsidRPr="00773549">
        <w:rPr>
          <w:szCs w:val="24"/>
        </w:rPr>
        <w:t xml:space="preserve"> via HL7 messages and </w:t>
      </w:r>
      <w:proofErr w:type="spellStart"/>
      <w:r w:rsidRPr="00773549">
        <w:rPr>
          <w:szCs w:val="24"/>
        </w:rPr>
        <w:t>IntelePACS</w:t>
      </w:r>
      <w:proofErr w:type="spellEnd"/>
      <w:r w:rsidRPr="00773549">
        <w:rPr>
          <w:szCs w:val="24"/>
        </w:rPr>
        <w:t xml:space="preserve"> shall send similar messages to Foundations™.</w:t>
      </w:r>
    </w:p>
    <w:p w:rsidR="00893CAA" w:rsidRDefault="00893CAA" w:rsidP="00354C62">
      <w:pPr>
        <w:shd w:val="clear" w:color="auto" w:fill="DBE5F1" w:themeFill="accent1" w:themeFillTint="33"/>
        <w:rPr>
          <w:sz w:val="24"/>
          <w:szCs w:val="24"/>
        </w:rPr>
      </w:pPr>
      <w:r>
        <w:rPr>
          <w:b/>
          <w:sz w:val="24"/>
          <w:szCs w:val="24"/>
        </w:rPr>
        <w:t>Workflow and Resulting Data flow</w:t>
      </w:r>
      <w:r w:rsidR="00D806C7">
        <w:rPr>
          <w:b/>
          <w:sz w:val="24"/>
          <w:szCs w:val="24"/>
        </w:rPr>
        <w:t xml:space="preserve"> – From Foundations™ to </w:t>
      </w:r>
      <w:proofErr w:type="spellStart"/>
      <w:r w:rsidR="00D806C7">
        <w:rPr>
          <w:b/>
          <w:sz w:val="24"/>
          <w:szCs w:val="24"/>
        </w:rPr>
        <w:t>IntelePACS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4"/>
        <w:gridCol w:w="3192"/>
        <w:gridCol w:w="3192"/>
      </w:tblGrid>
      <w:tr w:rsidR="00893CAA" w:rsidRPr="00773549" w:rsidTr="00893CAA">
        <w:tc>
          <w:tcPr>
            <w:tcW w:w="3084" w:type="dxa"/>
          </w:tcPr>
          <w:p w:rsidR="00893CAA" w:rsidRPr="00773549" w:rsidRDefault="00893CAA" w:rsidP="00773549">
            <w:pPr>
              <w:tabs>
                <w:tab w:val="left" w:pos="1535"/>
              </w:tabs>
              <w:jc w:val="center"/>
              <w:rPr>
                <w:b/>
                <w:szCs w:val="24"/>
              </w:rPr>
            </w:pPr>
            <w:r w:rsidRPr="00773549">
              <w:rPr>
                <w:b/>
                <w:szCs w:val="24"/>
              </w:rPr>
              <w:t>User Action</w:t>
            </w:r>
          </w:p>
        </w:tc>
        <w:tc>
          <w:tcPr>
            <w:tcW w:w="3192" w:type="dxa"/>
          </w:tcPr>
          <w:p w:rsidR="00893CAA" w:rsidRPr="00773549" w:rsidRDefault="00893CAA" w:rsidP="00773549">
            <w:pPr>
              <w:jc w:val="center"/>
              <w:rPr>
                <w:b/>
                <w:szCs w:val="24"/>
              </w:rPr>
            </w:pPr>
            <w:r w:rsidRPr="00773549">
              <w:rPr>
                <w:b/>
                <w:szCs w:val="24"/>
              </w:rPr>
              <w:t>Trigger Event</w:t>
            </w:r>
          </w:p>
        </w:tc>
        <w:tc>
          <w:tcPr>
            <w:tcW w:w="3192" w:type="dxa"/>
          </w:tcPr>
          <w:p w:rsidR="00893CAA" w:rsidRPr="00773549" w:rsidRDefault="00773549" w:rsidP="0077354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Note</w:t>
            </w:r>
          </w:p>
        </w:tc>
      </w:tr>
      <w:tr w:rsidR="00893CAA" w:rsidRPr="00773549" w:rsidTr="00893CAA">
        <w:tc>
          <w:tcPr>
            <w:tcW w:w="3084" w:type="dxa"/>
          </w:tcPr>
          <w:p w:rsidR="00893CAA" w:rsidRPr="00773549" w:rsidRDefault="00893CAA" w:rsidP="00893CAA">
            <w:pPr>
              <w:rPr>
                <w:szCs w:val="24"/>
              </w:rPr>
            </w:pPr>
            <w:r w:rsidRPr="00773549">
              <w:rPr>
                <w:szCs w:val="24"/>
              </w:rPr>
              <w:t>VA MC Tech Submits a case</w:t>
            </w:r>
          </w:p>
        </w:tc>
        <w:tc>
          <w:tcPr>
            <w:tcW w:w="3192" w:type="dxa"/>
          </w:tcPr>
          <w:p w:rsidR="00893CAA" w:rsidRPr="00773549" w:rsidRDefault="00893CAA" w:rsidP="00893CAA">
            <w:pPr>
              <w:rPr>
                <w:szCs w:val="24"/>
              </w:rPr>
            </w:pPr>
            <w:r w:rsidRPr="00773549">
              <w:rPr>
                <w:szCs w:val="24"/>
              </w:rPr>
              <w:t>Case Submission</w:t>
            </w:r>
          </w:p>
        </w:tc>
        <w:tc>
          <w:tcPr>
            <w:tcW w:w="3192" w:type="dxa"/>
          </w:tcPr>
          <w:p w:rsidR="00893CAA" w:rsidRPr="00773549" w:rsidRDefault="00773549" w:rsidP="00773549">
            <w:pPr>
              <w:rPr>
                <w:szCs w:val="24"/>
              </w:rPr>
            </w:pPr>
            <w:r>
              <w:rPr>
                <w:szCs w:val="24"/>
              </w:rPr>
              <w:t>Status in ORC-5</w:t>
            </w:r>
            <w:r w:rsidR="00260115">
              <w:rPr>
                <w:szCs w:val="24"/>
              </w:rPr>
              <w:t>.1</w:t>
            </w:r>
            <w:r>
              <w:rPr>
                <w:szCs w:val="24"/>
              </w:rPr>
              <w:t xml:space="preserve"> = OR</w:t>
            </w:r>
          </w:p>
        </w:tc>
      </w:tr>
      <w:tr w:rsidR="00893CAA" w:rsidRPr="00773549" w:rsidTr="00893CAA">
        <w:tc>
          <w:tcPr>
            <w:tcW w:w="3084" w:type="dxa"/>
          </w:tcPr>
          <w:p w:rsidR="00893CAA" w:rsidRPr="00773549" w:rsidRDefault="00773549" w:rsidP="00773549">
            <w:pPr>
              <w:rPr>
                <w:szCs w:val="24"/>
              </w:rPr>
            </w:pPr>
            <w:r>
              <w:rPr>
                <w:szCs w:val="24"/>
              </w:rPr>
              <w:t>NTP FC marks a case ready</w:t>
            </w:r>
          </w:p>
        </w:tc>
        <w:tc>
          <w:tcPr>
            <w:tcW w:w="3192" w:type="dxa"/>
          </w:tcPr>
          <w:p w:rsidR="00893CAA" w:rsidRPr="00773549" w:rsidRDefault="00773549" w:rsidP="00893CAA">
            <w:pPr>
              <w:rPr>
                <w:szCs w:val="24"/>
              </w:rPr>
            </w:pPr>
            <w:r>
              <w:rPr>
                <w:szCs w:val="24"/>
              </w:rPr>
              <w:t>Case Ready</w:t>
            </w:r>
          </w:p>
        </w:tc>
        <w:tc>
          <w:tcPr>
            <w:tcW w:w="3192" w:type="dxa"/>
          </w:tcPr>
          <w:p w:rsidR="00893CAA" w:rsidRPr="00773549" w:rsidRDefault="00773549" w:rsidP="00893CAA">
            <w:pPr>
              <w:rPr>
                <w:szCs w:val="24"/>
              </w:rPr>
            </w:pPr>
            <w:r>
              <w:rPr>
                <w:szCs w:val="24"/>
              </w:rPr>
              <w:t>Status in ORC-5</w:t>
            </w:r>
            <w:r w:rsidR="00260115">
              <w:rPr>
                <w:szCs w:val="24"/>
              </w:rPr>
              <w:t>.1</w:t>
            </w:r>
            <w:r>
              <w:rPr>
                <w:szCs w:val="24"/>
              </w:rPr>
              <w:t xml:space="preserve"> = RY</w:t>
            </w:r>
          </w:p>
        </w:tc>
      </w:tr>
      <w:tr w:rsidR="00893CAA" w:rsidRPr="00773549" w:rsidTr="00893CAA">
        <w:tc>
          <w:tcPr>
            <w:tcW w:w="3084" w:type="dxa"/>
          </w:tcPr>
          <w:p w:rsidR="00893CAA" w:rsidRPr="00773549" w:rsidRDefault="00773549" w:rsidP="00893CAA">
            <w:pPr>
              <w:rPr>
                <w:szCs w:val="24"/>
              </w:rPr>
            </w:pPr>
            <w:r>
              <w:rPr>
                <w:szCs w:val="24"/>
              </w:rPr>
              <w:t>NTP FC marks a case rejected</w:t>
            </w:r>
          </w:p>
        </w:tc>
        <w:tc>
          <w:tcPr>
            <w:tcW w:w="3192" w:type="dxa"/>
          </w:tcPr>
          <w:p w:rsidR="00893CAA" w:rsidRPr="00773549" w:rsidRDefault="00773549" w:rsidP="00893CAA">
            <w:pPr>
              <w:rPr>
                <w:szCs w:val="24"/>
              </w:rPr>
            </w:pPr>
            <w:r>
              <w:rPr>
                <w:szCs w:val="24"/>
              </w:rPr>
              <w:t>Case Rejected</w:t>
            </w:r>
          </w:p>
        </w:tc>
        <w:tc>
          <w:tcPr>
            <w:tcW w:w="3192" w:type="dxa"/>
          </w:tcPr>
          <w:p w:rsidR="00893CAA" w:rsidRPr="00773549" w:rsidRDefault="00773549" w:rsidP="00893CAA">
            <w:pPr>
              <w:rPr>
                <w:szCs w:val="24"/>
              </w:rPr>
            </w:pPr>
            <w:r>
              <w:rPr>
                <w:szCs w:val="24"/>
              </w:rPr>
              <w:t>Status in ORC-5</w:t>
            </w:r>
            <w:r w:rsidR="00260115">
              <w:rPr>
                <w:szCs w:val="24"/>
              </w:rPr>
              <w:t>.1</w:t>
            </w:r>
            <w:r>
              <w:rPr>
                <w:szCs w:val="24"/>
              </w:rPr>
              <w:t xml:space="preserve"> = CX</w:t>
            </w:r>
          </w:p>
        </w:tc>
      </w:tr>
    </w:tbl>
    <w:p w:rsidR="00893CAA" w:rsidRPr="00F94ED7" w:rsidRDefault="00893CAA" w:rsidP="00893CAA">
      <w:pPr>
        <w:rPr>
          <w:sz w:val="8"/>
          <w:szCs w:val="24"/>
        </w:rPr>
      </w:pPr>
    </w:p>
    <w:p w:rsidR="00260115" w:rsidRPr="00260115" w:rsidRDefault="00260115" w:rsidP="00354C62">
      <w:pPr>
        <w:shd w:val="clear" w:color="auto" w:fill="DBE5F1" w:themeFill="accent1" w:themeFillTint="33"/>
        <w:rPr>
          <w:b/>
          <w:sz w:val="24"/>
          <w:szCs w:val="24"/>
        </w:rPr>
      </w:pPr>
      <w:r w:rsidRPr="00260115">
        <w:rPr>
          <w:b/>
          <w:sz w:val="24"/>
          <w:szCs w:val="24"/>
        </w:rPr>
        <w:t>Sample Message</w:t>
      </w:r>
    </w:p>
    <w:p w:rsidR="00260115" w:rsidRPr="00260115" w:rsidRDefault="00260115" w:rsidP="00260115">
      <w:pPr>
        <w:shd w:val="clear" w:color="auto" w:fill="DBE5F1" w:themeFill="accent1" w:themeFillTint="33"/>
        <w:spacing w:after="0"/>
        <w:rPr>
          <w:rFonts w:ascii="Courier New" w:hAnsi="Courier New" w:cs="Courier New"/>
          <w:sz w:val="20"/>
          <w:szCs w:val="24"/>
        </w:rPr>
      </w:pPr>
      <w:r w:rsidRPr="00260115">
        <w:rPr>
          <w:rFonts w:ascii="Courier New" w:hAnsi="Courier New" w:cs="Courier New"/>
          <w:sz w:val="20"/>
          <w:szCs w:val="24"/>
        </w:rPr>
        <w:t>MSH|^~\&amp;|</w:t>
      </w:r>
      <w:r w:rsidR="00354C62">
        <w:rPr>
          <w:rFonts w:ascii="Courier New" w:hAnsi="Courier New" w:cs="Courier New"/>
          <w:sz w:val="20"/>
          <w:szCs w:val="24"/>
        </w:rPr>
        <w:t>Foundations</w:t>
      </w:r>
      <w:r w:rsidRPr="00260115">
        <w:rPr>
          <w:rFonts w:ascii="Courier New" w:hAnsi="Courier New" w:cs="Courier New"/>
          <w:sz w:val="20"/>
          <w:szCs w:val="24"/>
        </w:rPr>
        <w:t>|VHANTP|</w:t>
      </w:r>
      <w:r w:rsidR="00354C62">
        <w:rPr>
          <w:rFonts w:ascii="Courier New" w:hAnsi="Courier New" w:cs="Courier New"/>
          <w:sz w:val="20"/>
          <w:szCs w:val="24"/>
        </w:rPr>
        <w:t>IntelePACS</w:t>
      </w:r>
      <w:r w:rsidRPr="00260115">
        <w:rPr>
          <w:rFonts w:ascii="Courier New" w:hAnsi="Courier New" w:cs="Courier New"/>
          <w:sz w:val="20"/>
          <w:szCs w:val="24"/>
        </w:rPr>
        <w:t>||20140208133759||ORM^</w:t>
      </w:r>
      <w:r w:rsidR="00354C62">
        <w:rPr>
          <w:rFonts w:ascii="Courier New" w:hAnsi="Courier New" w:cs="Courier New"/>
          <w:sz w:val="20"/>
          <w:szCs w:val="24"/>
        </w:rPr>
        <w:t>O01|MID2014020813:37:58384|P|2.5</w:t>
      </w:r>
    </w:p>
    <w:p w:rsidR="00260115" w:rsidRPr="00260115" w:rsidRDefault="00260115" w:rsidP="00260115">
      <w:pPr>
        <w:shd w:val="clear" w:color="auto" w:fill="DBE5F1" w:themeFill="accent1" w:themeFillTint="33"/>
        <w:spacing w:after="0"/>
        <w:rPr>
          <w:rFonts w:ascii="Courier New" w:hAnsi="Courier New" w:cs="Courier New"/>
          <w:sz w:val="20"/>
          <w:szCs w:val="24"/>
        </w:rPr>
      </w:pPr>
      <w:r w:rsidRPr="00260115">
        <w:rPr>
          <w:rFonts w:ascii="Courier New" w:hAnsi="Courier New" w:cs="Courier New"/>
          <w:sz w:val="20"/>
          <w:szCs w:val="24"/>
        </w:rPr>
        <w:t>PID||||||||||||||||||</w:t>
      </w:r>
    </w:p>
    <w:p w:rsidR="00260115" w:rsidRPr="00260115" w:rsidRDefault="00260115" w:rsidP="00260115">
      <w:pPr>
        <w:shd w:val="clear" w:color="auto" w:fill="DBE5F1" w:themeFill="accent1" w:themeFillTint="33"/>
        <w:spacing w:after="0"/>
        <w:rPr>
          <w:rFonts w:ascii="Courier New" w:hAnsi="Courier New" w:cs="Courier New"/>
          <w:sz w:val="20"/>
          <w:szCs w:val="24"/>
        </w:rPr>
      </w:pPr>
      <w:r w:rsidRPr="00260115">
        <w:rPr>
          <w:rFonts w:ascii="Courier New" w:hAnsi="Courier New" w:cs="Courier New"/>
          <w:sz w:val="20"/>
          <w:szCs w:val="24"/>
        </w:rPr>
        <w:t>ORC|||516012714-995||RY|</w:t>
      </w:r>
    </w:p>
    <w:p w:rsidR="00260115" w:rsidRDefault="00260115" w:rsidP="00260115">
      <w:pPr>
        <w:shd w:val="clear" w:color="auto" w:fill="DBE5F1" w:themeFill="accent1" w:themeFillTint="33"/>
        <w:spacing w:after="0"/>
        <w:rPr>
          <w:rFonts w:ascii="Courier New" w:hAnsi="Courier New" w:cs="Courier New"/>
          <w:sz w:val="20"/>
          <w:szCs w:val="24"/>
        </w:rPr>
      </w:pPr>
      <w:r w:rsidRPr="00260115">
        <w:rPr>
          <w:rFonts w:ascii="Courier New" w:hAnsi="Courier New" w:cs="Courier New"/>
          <w:sz w:val="20"/>
          <w:szCs w:val="24"/>
        </w:rPr>
        <w:t>OBR|||516012714-995|||2014-01-27 17:30:47.447|2014-01-27 17:34:25.34||||||CT HEAD WO||||72739866614925||</w:t>
      </w:r>
    </w:p>
    <w:p w:rsidR="00260115" w:rsidRDefault="00260115" w:rsidP="00260115">
      <w:pPr>
        <w:spacing w:after="0"/>
        <w:rPr>
          <w:rFonts w:ascii="Courier New" w:hAnsi="Courier New" w:cs="Courier New"/>
          <w:sz w:val="20"/>
          <w:szCs w:val="24"/>
        </w:rPr>
      </w:pPr>
    </w:p>
    <w:p w:rsidR="00260115" w:rsidRPr="00260115" w:rsidRDefault="00354C62" w:rsidP="00354C62">
      <w:pPr>
        <w:shd w:val="clear" w:color="auto" w:fill="DBE5F1" w:themeFill="accent1" w:themeFillTint="33"/>
        <w:rPr>
          <w:b/>
          <w:sz w:val="24"/>
          <w:szCs w:val="24"/>
        </w:rPr>
      </w:pPr>
      <w:r>
        <w:rPr>
          <w:b/>
          <w:sz w:val="24"/>
          <w:szCs w:val="24"/>
        </w:rPr>
        <w:t>Relevant or Notable</w:t>
      </w:r>
      <w:r w:rsidR="00260115">
        <w:rPr>
          <w:b/>
          <w:sz w:val="24"/>
          <w:szCs w:val="24"/>
        </w:rPr>
        <w:t xml:space="preserve"> Segment/Fields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990"/>
        <w:gridCol w:w="1080"/>
        <w:gridCol w:w="630"/>
        <w:gridCol w:w="5598"/>
      </w:tblGrid>
      <w:tr w:rsidR="00260115" w:rsidRPr="00F94ED7" w:rsidTr="00354C62">
        <w:tc>
          <w:tcPr>
            <w:tcW w:w="11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Segment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Field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Length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Opt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Definition</w:t>
            </w:r>
          </w:p>
        </w:tc>
      </w:tr>
      <w:tr w:rsidR="00260115" w:rsidRPr="00F94ED7" w:rsidTr="00354C62">
        <w:tc>
          <w:tcPr>
            <w:tcW w:w="1170" w:type="dxa"/>
            <w:tcBorders>
              <w:top w:val="single" w:sz="4" w:space="0" w:color="auto"/>
            </w:tcBorders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PID</w:t>
            </w:r>
          </w:p>
        </w:tc>
        <w:tc>
          <w:tcPr>
            <w:tcW w:w="8298" w:type="dxa"/>
            <w:gridSpan w:val="4"/>
            <w:tcBorders>
              <w:top w:val="single" w:sz="4" w:space="0" w:color="auto"/>
            </w:tcBorders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 xml:space="preserve">Because the VA MC Techs do not enter patient information, the PID is segment will be </w:t>
            </w:r>
            <w:r w:rsidR="00C432CC" w:rsidRPr="00F94ED7">
              <w:rPr>
                <w:sz w:val="20"/>
                <w:szCs w:val="24"/>
              </w:rPr>
              <w:t xml:space="preserve">present but </w:t>
            </w:r>
            <w:r w:rsidRPr="00F94ED7">
              <w:rPr>
                <w:sz w:val="20"/>
                <w:szCs w:val="24"/>
              </w:rPr>
              <w:t>empty for this interface/ application purpose.</w:t>
            </w:r>
          </w:p>
        </w:tc>
      </w:tr>
      <w:tr w:rsidR="00260115" w:rsidRPr="00F94ED7" w:rsidTr="00260115">
        <w:tc>
          <w:tcPr>
            <w:tcW w:w="117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ORC</w:t>
            </w:r>
          </w:p>
        </w:tc>
        <w:tc>
          <w:tcPr>
            <w:tcW w:w="99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3.1</w:t>
            </w:r>
          </w:p>
        </w:tc>
        <w:tc>
          <w:tcPr>
            <w:tcW w:w="108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25</w:t>
            </w:r>
          </w:p>
        </w:tc>
        <w:tc>
          <w:tcPr>
            <w:tcW w:w="63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R</w:t>
            </w:r>
          </w:p>
        </w:tc>
        <w:tc>
          <w:tcPr>
            <w:tcW w:w="5598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 xml:space="preserve">Accession Number – this will always be present. In case the 2.4 </w:t>
            </w:r>
            <w:proofErr w:type="gramStart"/>
            <w:r w:rsidRPr="00F94ED7">
              <w:rPr>
                <w:sz w:val="20"/>
                <w:szCs w:val="24"/>
              </w:rPr>
              <w:t>sites,</w:t>
            </w:r>
            <w:proofErr w:type="gramEnd"/>
            <w:r w:rsidRPr="00F94ED7">
              <w:rPr>
                <w:sz w:val="20"/>
                <w:szCs w:val="24"/>
              </w:rPr>
              <w:t xml:space="preserve"> the format will be ZZZ-</w:t>
            </w:r>
            <w:proofErr w:type="spellStart"/>
            <w:r w:rsidRPr="00F94ED7">
              <w:rPr>
                <w:sz w:val="20"/>
                <w:szCs w:val="24"/>
              </w:rPr>
              <w:t>mmddyy</w:t>
            </w:r>
            <w:proofErr w:type="spellEnd"/>
            <w:r w:rsidRPr="00F94ED7">
              <w:rPr>
                <w:sz w:val="20"/>
                <w:szCs w:val="24"/>
              </w:rPr>
              <w:t>-</w:t>
            </w:r>
            <w:proofErr w:type="spellStart"/>
            <w:r w:rsidRPr="00F94ED7">
              <w:rPr>
                <w:sz w:val="20"/>
                <w:szCs w:val="24"/>
              </w:rPr>
              <w:t>nnnn</w:t>
            </w:r>
            <w:proofErr w:type="spellEnd"/>
            <w:r w:rsidRPr="00F94ED7">
              <w:rPr>
                <w:sz w:val="20"/>
                <w:szCs w:val="24"/>
              </w:rPr>
              <w:t xml:space="preserve">. In case of 2.3 sites, the format will be </w:t>
            </w:r>
            <w:proofErr w:type="spellStart"/>
            <w:r w:rsidRPr="00F94ED7">
              <w:rPr>
                <w:sz w:val="20"/>
                <w:szCs w:val="24"/>
              </w:rPr>
              <w:t>ZZZmmddyy-nnnn</w:t>
            </w:r>
            <w:proofErr w:type="spellEnd"/>
            <w:r w:rsidRPr="00F94ED7">
              <w:rPr>
                <w:sz w:val="20"/>
                <w:szCs w:val="24"/>
              </w:rPr>
              <w:t>.</w:t>
            </w:r>
          </w:p>
        </w:tc>
      </w:tr>
      <w:tr w:rsidR="00260115" w:rsidRPr="00F94ED7" w:rsidTr="00260115">
        <w:tc>
          <w:tcPr>
            <w:tcW w:w="117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ORC</w:t>
            </w:r>
          </w:p>
        </w:tc>
        <w:tc>
          <w:tcPr>
            <w:tcW w:w="99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5.1</w:t>
            </w:r>
          </w:p>
        </w:tc>
        <w:tc>
          <w:tcPr>
            <w:tcW w:w="108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5</w:t>
            </w:r>
          </w:p>
        </w:tc>
        <w:tc>
          <w:tcPr>
            <w:tcW w:w="63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R</w:t>
            </w:r>
          </w:p>
        </w:tc>
        <w:tc>
          <w:tcPr>
            <w:tcW w:w="5598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Order Status – range of value = {OR, RY, CX}</w:t>
            </w:r>
          </w:p>
        </w:tc>
      </w:tr>
      <w:tr w:rsidR="00260115" w:rsidRPr="00F94ED7" w:rsidTr="00260115">
        <w:tc>
          <w:tcPr>
            <w:tcW w:w="117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OBR</w:t>
            </w:r>
          </w:p>
        </w:tc>
        <w:tc>
          <w:tcPr>
            <w:tcW w:w="99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3.1</w:t>
            </w:r>
          </w:p>
        </w:tc>
        <w:tc>
          <w:tcPr>
            <w:tcW w:w="108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25</w:t>
            </w:r>
          </w:p>
        </w:tc>
        <w:tc>
          <w:tcPr>
            <w:tcW w:w="63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R</w:t>
            </w:r>
          </w:p>
        </w:tc>
        <w:tc>
          <w:tcPr>
            <w:tcW w:w="5598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Same as ORC 3.1, Accession number</w:t>
            </w:r>
          </w:p>
        </w:tc>
      </w:tr>
      <w:tr w:rsidR="00260115" w:rsidRPr="00F94ED7" w:rsidTr="00260115">
        <w:tc>
          <w:tcPr>
            <w:tcW w:w="117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OBR</w:t>
            </w:r>
          </w:p>
        </w:tc>
        <w:tc>
          <w:tcPr>
            <w:tcW w:w="99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6.1</w:t>
            </w:r>
          </w:p>
        </w:tc>
        <w:tc>
          <w:tcPr>
            <w:tcW w:w="108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25</w:t>
            </w:r>
          </w:p>
        </w:tc>
        <w:tc>
          <w:tcPr>
            <w:tcW w:w="63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R</w:t>
            </w:r>
          </w:p>
        </w:tc>
        <w:tc>
          <w:tcPr>
            <w:tcW w:w="5598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Timestamp the case was originally submitted</w:t>
            </w:r>
          </w:p>
        </w:tc>
      </w:tr>
      <w:tr w:rsidR="00260115" w:rsidRPr="00F94ED7" w:rsidTr="00260115">
        <w:tc>
          <w:tcPr>
            <w:tcW w:w="117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OBR</w:t>
            </w:r>
          </w:p>
        </w:tc>
        <w:tc>
          <w:tcPr>
            <w:tcW w:w="99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7.1</w:t>
            </w:r>
          </w:p>
        </w:tc>
        <w:tc>
          <w:tcPr>
            <w:tcW w:w="108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25</w:t>
            </w:r>
          </w:p>
        </w:tc>
        <w:tc>
          <w:tcPr>
            <w:tcW w:w="63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R</w:t>
            </w:r>
          </w:p>
        </w:tc>
        <w:tc>
          <w:tcPr>
            <w:tcW w:w="5598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Timestamp the case status was changed</w:t>
            </w:r>
          </w:p>
        </w:tc>
      </w:tr>
      <w:tr w:rsidR="00260115" w:rsidRPr="00F94ED7" w:rsidTr="00260115">
        <w:tc>
          <w:tcPr>
            <w:tcW w:w="117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OBR</w:t>
            </w:r>
          </w:p>
        </w:tc>
        <w:tc>
          <w:tcPr>
            <w:tcW w:w="99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13.1</w:t>
            </w:r>
          </w:p>
        </w:tc>
        <w:tc>
          <w:tcPr>
            <w:tcW w:w="1080" w:type="dxa"/>
          </w:tcPr>
          <w:p w:rsidR="00260115" w:rsidRPr="00F94ED7" w:rsidRDefault="00260115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180</w:t>
            </w:r>
          </w:p>
        </w:tc>
        <w:tc>
          <w:tcPr>
            <w:tcW w:w="630" w:type="dxa"/>
          </w:tcPr>
          <w:p w:rsidR="00260115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</w:t>
            </w:r>
          </w:p>
        </w:tc>
        <w:tc>
          <w:tcPr>
            <w:tcW w:w="5598" w:type="dxa"/>
          </w:tcPr>
          <w:p w:rsidR="00260115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Study info as entered by submitting Tech</w:t>
            </w:r>
          </w:p>
        </w:tc>
      </w:tr>
      <w:tr w:rsidR="00354C62" w:rsidRPr="00F94ED7" w:rsidTr="002A528E">
        <w:tc>
          <w:tcPr>
            <w:tcW w:w="1170" w:type="dxa"/>
          </w:tcPr>
          <w:p w:rsidR="00354C62" w:rsidRPr="00F94ED7" w:rsidRDefault="00354C62" w:rsidP="002A528E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OBR</w:t>
            </w:r>
          </w:p>
        </w:tc>
        <w:tc>
          <w:tcPr>
            <w:tcW w:w="990" w:type="dxa"/>
          </w:tcPr>
          <w:p w:rsidR="00354C62" w:rsidRPr="00F94ED7" w:rsidRDefault="00354C62" w:rsidP="00354C62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16.1</w:t>
            </w:r>
          </w:p>
        </w:tc>
        <w:tc>
          <w:tcPr>
            <w:tcW w:w="1080" w:type="dxa"/>
          </w:tcPr>
          <w:p w:rsidR="00354C62" w:rsidRPr="00F94ED7" w:rsidRDefault="00354C62" w:rsidP="002A528E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25</w:t>
            </w:r>
          </w:p>
        </w:tc>
        <w:tc>
          <w:tcPr>
            <w:tcW w:w="630" w:type="dxa"/>
          </w:tcPr>
          <w:p w:rsidR="00354C62" w:rsidRPr="00F94ED7" w:rsidRDefault="00354C62" w:rsidP="002A528E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</w:t>
            </w:r>
          </w:p>
        </w:tc>
        <w:tc>
          <w:tcPr>
            <w:tcW w:w="5598" w:type="dxa"/>
          </w:tcPr>
          <w:p w:rsidR="00354C62" w:rsidRPr="00F94ED7" w:rsidRDefault="00354C62" w:rsidP="00354C62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Ordering Provider Name</w:t>
            </w:r>
          </w:p>
        </w:tc>
      </w:tr>
      <w:tr w:rsidR="00354C62" w:rsidRPr="00F94ED7" w:rsidTr="00260115">
        <w:tc>
          <w:tcPr>
            <w:tcW w:w="1170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OBR</w:t>
            </w:r>
          </w:p>
        </w:tc>
        <w:tc>
          <w:tcPr>
            <w:tcW w:w="990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17.1</w:t>
            </w:r>
          </w:p>
        </w:tc>
        <w:tc>
          <w:tcPr>
            <w:tcW w:w="1080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25</w:t>
            </w:r>
          </w:p>
        </w:tc>
        <w:tc>
          <w:tcPr>
            <w:tcW w:w="630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</w:t>
            </w:r>
          </w:p>
        </w:tc>
        <w:tc>
          <w:tcPr>
            <w:tcW w:w="5598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Callback Phone Number with extension</w:t>
            </w:r>
          </w:p>
        </w:tc>
      </w:tr>
      <w:tr w:rsidR="00354C62" w:rsidRPr="00F94ED7" w:rsidTr="00260115">
        <w:tc>
          <w:tcPr>
            <w:tcW w:w="1170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OBR</w:t>
            </w:r>
          </w:p>
        </w:tc>
        <w:tc>
          <w:tcPr>
            <w:tcW w:w="990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18.1</w:t>
            </w:r>
          </w:p>
        </w:tc>
        <w:tc>
          <w:tcPr>
            <w:tcW w:w="1080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25</w:t>
            </w:r>
          </w:p>
        </w:tc>
        <w:tc>
          <w:tcPr>
            <w:tcW w:w="630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O</w:t>
            </w:r>
          </w:p>
        </w:tc>
        <w:tc>
          <w:tcPr>
            <w:tcW w:w="5598" w:type="dxa"/>
          </w:tcPr>
          <w:p w:rsidR="00354C62" w:rsidRPr="00F94ED7" w:rsidRDefault="00354C62" w:rsidP="00260115">
            <w:pPr>
              <w:rPr>
                <w:sz w:val="20"/>
                <w:szCs w:val="24"/>
              </w:rPr>
            </w:pPr>
            <w:r w:rsidRPr="00F94ED7">
              <w:rPr>
                <w:sz w:val="20"/>
                <w:szCs w:val="24"/>
              </w:rPr>
              <w:t>Callback Pager if available</w:t>
            </w:r>
          </w:p>
        </w:tc>
      </w:tr>
    </w:tbl>
    <w:p w:rsidR="00260115" w:rsidRPr="00F94ED7" w:rsidRDefault="00260115" w:rsidP="00260115">
      <w:pPr>
        <w:rPr>
          <w:sz w:val="8"/>
          <w:szCs w:val="24"/>
        </w:rPr>
      </w:pPr>
    </w:p>
    <w:p w:rsidR="00260115" w:rsidRPr="00260115" w:rsidRDefault="00F94ED7" w:rsidP="00F94ED7">
      <w:pPr>
        <w:shd w:val="clear" w:color="auto" w:fill="DBE5F1" w:themeFill="accent1" w:themeFillTint="33"/>
        <w:rPr>
          <w:szCs w:val="24"/>
        </w:rPr>
      </w:pPr>
      <w:r>
        <w:rPr>
          <w:szCs w:val="24"/>
        </w:rPr>
        <w:t xml:space="preserve">Messaging from </w:t>
      </w:r>
      <w:proofErr w:type="spellStart"/>
      <w:r>
        <w:rPr>
          <w:szCs w:val="24"/>
        </w:rPr>
        <w:t>IntelePACS</w:t>
      </w:r>
      <w:proofErr w:type="spellEnd"/>
      <w:r>
        <w:rPr>
          <w:szCs w:val="24"/>
        </w:rPr>
        <w:t xml:space="preserve"> to Foundations</w:t>
      </w:r>
    </w:p>
    <w:p w:rsidR="00260115" w:rsidRPr="00F94ED7" w:rsidRDefault="00F94ED7" w:rsidP="00260115">
      <w:pPr>
        <w:rPr>
          <w:sz w:val="20"/>
          <w:szCs w:val="24"/>
        </w:rPr>
      </w:pPr>
      <w:r w:rsidRPr="00F94ED7">
        <w:rPr>
          <w:sz w:val="20"/>
          <w:szCs w:val="24"/>
        </w:rPr>
        <w:t xml:space="preserve">Foundations Listeners will be configured for the </w:t>
      </w:r>
      <w:r>
        <w:rPr>
          <w:sz w:val="20"/>
          <w:szCs w:val="24"/>
        </w:rPr>
        <w:t>PACS</w:t>
      </w:r>
      <w:r w:rsidRPr="00F94ED7">
        <w:rPr>
          <w:sz w:val="20"/>
          <w:szCs w:val="24"/>
        </w:rPr>
        <w:t xml:space="preserve"> HL7 formats. The Accept and Reject Message </w:t>
      </w:r>
      <w:r>
        <w:rPr>
          <w:sz w:val="20"/>
          <w:szCs w:val="24"/>
        </w:rPr>
        <w:t>drive</w:t>
      </w:r>
      <w:r w:rsidRPr="00F94ED7">
        <w:rPr>
          <w:sz w:val="20"/>
          <w:szCs w:val="24"/>
        </w:rPr>
        <w:t xml:space="preserve"> the status change </w:t>
      </w:r>
      <w:r>
        <w:rPr>
          <w:sz w:val="20"/>
          <w:szCs w:val="24"/>
        </w:rPr>
        <w:t xml:space="preserve">that </w:t>
      </w:r>
      <w:r w:rsidRPr="00F94ED7">
        <w:rPr>
          <w:sz w:val="20"/>
          <w:szCs w:val="24"/>
        </w:rPr>
        <w:t>has to be reflected on the NTP Customer facing work</w:t>
      </w:r>
      <w:r w:rsidR="00463809">
        <w:rPr>
          <w:sz w:val="20"/>
          <w:szCs w:val="24"/>
        </w:rPr>
        <w:t xml:space="preserve"> </w:t>
      </w:r>
      <w:r w:rsidRPr="00F94ED7">
        <w:rPr>
          <w:sz w:val="20"/>
          <w:szCs w:val="24"/>
        </w:rPr>
        <w:t>lists.</w:t>
      </w:r>
    </w:p>
    <w:p w:rsidR="00F94ED7" w:rsidRPr="00F94ED7" w:rsidRDefault="00F94ED7">
      <w:pPr>
        <w:rPr>
          <w:sz w:val="20"/>
          <w:szCs w:val="24"/>
        </w:rPr>
      </w:pPr>
    </w:p>
    <w:sectPr w:rsidR="00F94ED7" w:rsidRPr="00F94E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B16" w:rsidRDefault="00736B16" w:rsidP="00893CAA">
      <w:pPr>
        <w:spacing w:after="0" w:line="240" w:lineRule="auto"/>
      </w:pPr>
      <w:r>
        <w:separator/>
      </w:r>
    </w:p>
  </w:endnote>
  <w:endnote w:type="continuationSeparator" w:id="0">
    <w:p w:rsidR="00736B16" w:rsidRDefault="00736B16" w:rsidP="0089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AA" w:rsidRPr="00893CAA" w:rsidRDefault="00893CAA" w:rsidP="00893CAA">
    <w:pPr>
      <w:pStyle w:val="Footer"/>
      <w:pBdr>
        <w:top w:val="single" w:sz="4" w:space="1" w:color="auto"/>
      </w:pBdr>
      <w:rPr>
        <w:sz w:val="18"/>
      </w:rPr>
    </w:pPr>
    <w:r>
      <w:rPr>
        <w:sz w:val="18"/>
      </w:rPr>
      <w:t xml:space="preserve">© 2014 </w:t>
    </w:r>
    <w:r w:rsidRPr="00B67636">
      <w:rPr>
        <w:sz w:val="18"/>
      </w:rPr>
      <w:t>Health Level, Inc</w:t>
    </w:r>
    <w:r>
      <w:rPr>
        <w:sz w:val="18"/>
      </w:rPr>
      <w:t>., All Rights Reserved</w:t>
    </w:r>
    <w:r w:rsidRPr="00B67636">
      <w:rPr>
        <w:sz w:val="18"/>
      </w:rPr>
      <w:t>.</w:t>
    </w:r>
    <w:r w:rsidRPr="00B67636">
      <w:rPr>
        <w:sz w:val="18"/>
      </w:rPr>
      <w:tab/>
    </w:r>
    <w:r w:rsidRPr="00B67636">
      <w:rPr>
        <w:sz w:val="18"/>
      </w:rPr>
      <w:tab/>
      <w:t xml:space="preserve">Page </w:t>
    </w:r>
    <w:r w:rsidRPr="00B67636">
      <w:rPr>
        <w:b/>
        <w:sz w:val="18"/>
      </w:rPr>
      <w:fldChar w:fldCharType="begin"/>
    </w:r>
    <w:r w:rsidRPr="00B67636">
      <w:rPr>
        <w:b/>
        <w:sz w:val="18"/>
      </w:rPr>
      <w:instrText xml:space="preserve"> PAGE  \* Arabic  \* MERGEFORMAT </w:instrText>
    </w:r>
    <w:r w:rsidRPr="00B67636">
      <w:rPr>
        <w:b/>
        <w:sz w:val="18"/>
      </w:rPr>
      <w:fldChar w:fldCharType="separate"/>
    </w:r>
    <w:r w:rsidR="00AC22CA">
      <w:rPr>
        <w:b/>
        <w:noProof/>
        <w:sz w:val="18"/>
      </w:rPr>
      <w:t>2</w:t>
    </w:r>
    <w:r w:rsidRPr="00B67636">
      <w:rPr>
        <w:b/>
        <w:sz w:val="18"/>
      </w:rPr>
      <w:fldChar w:fldCharType="end"/>
    </w:r>
    <w:r w:rsidRPr="00B67636">
      <w:rPr>
        <w:sz w:val="18"/>
      </w:rPr>
      <w:t xml:space="preserve"> of </w:t>
    </w:r>
    <w:r w:rsidRPr="00B67636">
      <w:rPr>
        <w:b/>
        <w:sz w:val="18"/>
      </w:rPr>
      <w:fldChar w:fldCharType="begin"/>
    </w:r>
    <w:r w:rsidRPr="00B67636">
      <w:rPr>
        <w:b/>
        <w:sz w:val="18"/>
      </w:rPr>
      <w:instrText xml:space="preserve"> NUMPAGES  \* Arabic  \* MERGEFORMAT </w:instrText>
    </w:r>
    <w:r w:rsidRPr="00B67636">
      <w:rPr>
        <w:b/>
        <w:sz w:val="18"/>
      </w:rPr>
      <w:fldChar w:fldCharType="separate"/>
    </w:r>
    <w:r w:rsidR="00AC22CA">
      <w:rPr>
        <w:b/>
        <w:noProof/>
        <w:sz w:val="18"/>
      </w:rPr>
      <w:t>2</w:t>
    </w:r>
    <w:r w:rsidRPr="00B67636">
      <w:rPr>
        <w:b/>
        <w:sz w:val="18"/>
      </w:rPr>
      <w:fldChar w:fldCharType="end"/>
    </w:r>
  </w:p>
  <w:p w:rsidR="00893CAA" w:rsidRDefault="00893C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B16" w:rsidRDefault="00736B16" w:rsidP="00893CAA">
      <w:pPr>
        <w:spacing w:after="0" w:line="240" w:lineRule="auto"/>
      </w:pPr>
      <w:r>
        <w:separator/>
      </w:r>
    </w:p>
  </w:footnote>
  <w:footnote w:type="continuationSeparator" w:id="0">
    <w:p w:rsidR="00736B16" w:rsidRDefault="00736B16" w:rsidP="00893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AA" w:rsidRDefault="00893CAA" w:rsidP="00893CAA">
    <w:pPr>
      <w:pStyle w:val="Header"/>
      <w:pBdr>
        <w:bottom w:val="single" w:sz="4" w:space="1" w:color="auto"/>
      </w:pBdr>
      <w:jc w:val="right"/>
    </w:pPr>
    <w:r>
      <w:rPr>
        <w:noProof/>
      </w:rPr>
      <w:drawing>
        <wp:inline distT="0" distB="0" distL="0" distR="0" wp14:anchorId="1D82C693" wp14:editId="3D08B8C3">
          <wp:extent cx="1716657" cy="527399"/>
          <wp:effectExtent l="0" t="0" r="0" b="6350"/>
          <wp:docPr id="3" name="Picture 3" descr="C:\Users\parag_000\AppData\Local\Microsoft\Windows\INetCache\Content.Word\healthlevel-allarial-780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rag_000\AppData\Local\Microsoft\Windows\INetCache\Content.Word\healthlevel-allarial-780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941" cy="527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42"/>
    <w:rsid w:val="00260115"/>
    <w:rsid w:val="002D152B"/>
    <w:rsid w:val="0031049F"/>
    <w:rsid w:val="00354C62"/>
    <w:rsid w:val="003D7024"/>
    <w:rsid w:val="00463809"/>
    <w:rsid w:val="00527A82"/>
    <w:rsid w:val="00566520"/>
    <w:rsid w:val="00736B16"/>
    <w:rsid w:val="00773549"/>
    <w:rsid w:val="00893CAA"/>
    <w:rsid w:val="00986D9B"/>
    <w:rsid w:val="00A67D3F"/>
    <w:rsid w:val="00AC22CA"/>
    <w:rsid w:val="00C432CC"/>
    <w:rsid w:val="00C648B9"/>
    <w:rsid w:val="00D806C7"/>
    <w:rsid w:val="00DC34EE"/>
    <w:rsid w:val="00DD1542"/>
    <w:rsid w:val="00E54BB9"/>
    <w:rsid w:val="00F9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AA"/>
  </w:style>
  <w:style w:type="paragraph" w:styleId="Footer">
    <w:name w:val="footer"/>
    <w:basedOn w:val="Normal"/>
    <w:link w:val="FooterChar"/>
    <w:uiPriority w:val="99"/>
    <w:unhideWhenUsed/>
    <w:rsid w:val="00893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AA"/>
  </w:style>
  <w:style w:type="paragraph" w:styleId="BalloonText">
    <w:name w:val="Balloon Text"/>
    <w:basedOn w:val="Normal"/>
    <w:link w:val="BalloonTextChar"/>
    <w:uiPriority w:val="99"/>
    <w:semiHidden/>
    <w:unhideWhenUsed/>
    <w:rsid w:val="0089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AA"/>
  </w:style>
  <w:style w:type="paragraph" w:styleId="Footer">
    <w:name w:val="footer"/>
    <w:basedOn w:val="Normal"/>
    <w:link w:val="FooterChar"/>
    <w:uiPriority w:val="99"/>
    <w:unhideWhenUsed/>
    <w:rsid w:val="00893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AA"/>
  </w:style>
  <w:style w:type="paragraph" w:styleId="BalloonText">
    <w:name w:val="Balloon Text"/>
    <w:basedOn w:val="Normal"/>
    <w:link w:val="BalloonTextChar"/>
    <w:uiPriority w:val="99"/>
    <w:semiHidden/>
    <w:unhideWhenUsed/>
    <w:rsid w:val="0089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parag@healthlevel.com</dc:creator>
  <cp:lastModifiedBy>parag@healthlevel.com</cp:lastModifiedBy>
  <cp:revision>12</cp:revision>
  <cp:lastPrinted>2014-02-08T23:58:00Z</cp:lastPrinted>
  <dcterms:created xsi:type="dcterms:W3CDTF">2014-02-08T20:30:00Z</dcterms:created>
  <dcterms:modified xsi:type="dcterms:W3CDTF">2014-02-09T01:00:00Z</dcterms:modified>
</cp:coreProperties>
</file>